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Checklist: Use Case 24 – Conduct a Quarterly Asset Audit</w:t>
      </w:r>
    </w:p>
    <w:p>
      <w:r>
        <w:t>☐ Create a Saved View of assets with status 'In Use' and last updated over 90 days ago.</w:t>
      </w:r>
    </w:p>
    <w:p>
      <w:r>
        <w:t>☐ Export the Saved View to Excel and distribute to department-level reviewers.</w:t>
      </w:r>
    </w:p>
    <w:p>
      <w:r>
        <w:t>☐ Add a custom field to asset records: 'Audit Status' (values: Validated, Needs Correction, Missing Info).</w:t>
      </w:r>
    </w:p>
    <w:p>
      <w:r>
        <w:t>☐ Ask asset owners to review and update each record.</w:t>
      </w:r>
    </w:p>
    <w:p>
      <w:r>
        <w:t>☐ Record audit outcomes in the custom field or Excel file.</w:t>
      </w:r>
    </w:p>
    <w:p>
      <w:r>
        <w:t>☐ Import corrections or update assets in Freshservice manually.</w:t>
      </w:r>
    </w:p>
    <w:p>
      <w:r>
        <w:t>☐ Review compliance and escalate any data integrity issues.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